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6" w:rsidRPr="00EC2165" w:rsidRDefault="004D34B6" w:rsidP="004D34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D34B6" w:rsidRPr="00EC2165" w:rsidRDefault="004D34B6" w:rsidP="004D34B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B6" w:rsidRPr="00EC2165" w:rsidRDefault="004D34B6" w:rsidP="004D34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D34B6" w:rsidRDefault="004D34B6" w:rsidP="004D34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D34B6" w:rsidRDefault="004D34B6" w:rsidP="004D34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B6" w:rsidRPr="00AE1953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AE1953">
        <w:rPr>
          <w:rFonts w:ascii="Times New Roman" w:hAnsi="Times New Roman"/>
          <w:sz w:val="28"/>
          <w:szCs w:val="28"/>
          <w:lang w:eastAsia="ru-RU"/>
        </w:rPr>
        <w:t xml:space="preserve">Об утверждении  комплексной муниципальной  программы противодействие экстремизму и профилактика терроризма на территории сельского поселения  </w:t>
      </w:r>
      <w:proofErr w:type="spellStart"/>
      <w:r w:rsidRPr="00AE1953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                       </w:t>
      </w:r>
      <w:proofErr w:type="spellStart"/>
      <w:r w:rsidRPr="00AE1953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sz w:val="28"/>
          <w:szCs w:val="28"/>
          <w:lang w:eastAsia="ru-RU"/>
        </w:rPr>
        <w:t xml:space="preserve">  район  Республики  Башкортостан   на 2017-2019 годы</w:t>
      </w:r>
    </w:p>
    <w:p w:rsidR="004D34B6" w:rsidRPr="00AE1953" w:rsidRDefault="004D34B6" w:rsidP="004D34B6">
      <w:pPr>
        <w:shd w:val="clear" w:color="auto" w:fill="FFFFFF"/>
        <w:spacing w:after="24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AE1953">
        <w:rPr>
          <w:rFonts w:ascii="Times New Roman" w:hAnsi="Times New Roman"/>
          <w:sz w:val="28"/>
          <w:szCs w:val="28"/>
          <w:lang w:eastAsia="ru-RU"/>
        </w:rPr>
        <w:t>          На основании Федерального закона  « 114-ФЗ « О противодействии экстремистской  деятельности», п. «е» части 1 статьи 63 Уголовного кодекса Российской Федерации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E195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D34B6" w:rsidRPr="00AE1953" w:rsidRDefault="004D34B6" w:rsidP="004D34B6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1953">
        <w:rPr>
          <w:rFonts w:ascii="Times New Roman" w:hAnsi="Times New Roman"/>
          <w:sz w:val="28"/>
          <w:szCs w:val="28"/>
          <w:lang w:eastAsia="ru-RU"/>
        </w:rPr>
        <w:t xml:space="preserve">1. Утвердить комплексную муниципальную программу «Противодействие экстремизму и профилактика  терроризма  на территории сельского  поселения  </w:t>
      </w:r>
      <w:proofErr w:type="spellStart"/>
      <w:r w:rsidRPr="00AE1953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 </w:t>
      </w:r>
      <w:proofErr w:type="spellStart"/>
      <w:r w:rsidRPr="00AE1953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  на  2017-</w:t>
      </w:r>
      <w:smartTag w:uri="urn:schemas-microsoft-com:office:smarttags" w:element="metricconverter">
        <w:smartTagPr>
          <w:attr w:name="ProductID" w:val="2019 г"/>
        </w:smartTagPr>
        <w:r w:rsidRPr="00AE1953">
          <w:rPr>
            <w:rFonts w:ascii="Times New Roman" w:hAnsi="Times New Roman"/>
            <w:sz w:val="28"/>
            <w:szCs w:val="28"/>
            <w:lang w:eastAsia="ru-RU"/>
          </w:rPr>
          <w:t xml:space="preserve">2019 </w:t>
        </w:r>
        <w:proofErr w:type="spellStart"/>
        <w:r w:rsidRPr="00AE1953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AE1953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AE1953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AE1953">
        <w:rPr>
          <w:rFonts w:ascii="Times New Roman" w:hAnsi="Times New Roman"/>
          <w:sz w:val="28"/>
          <w:szCs w:val="28"/>
          <w:lang w:eastAsia="ru-RU"/>
        </w:rPr>
        <w:t>.».</w:t>
      </w:r>
    </w:p>
    <w:p w:rsidR="004D34B6" w:rsidRPr="00AE1953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1953">
        <w:rPr>
          <w:rFonts w:ascii="Times New Roman" w:hAnsi="Times New Roman"/>
          <w:sz w:val="28"/>
          <w:szCs w:val="28"/>
          <w:lang w:eastAsia="ru-RU"/>
        </w:rPr>
        <w:t xml:space="preserve">2. Настоящее постановление обнародовать в здании администрации сельского поселения </w:t>
      </w:r>
      <w:proofErr w:type="spellStart"/>
      <w:r w:rsidRPr="00AE1953">
        <w:rPr>
          <w:rFonts w:ascii="Times New Roman" w:hAnsi="Times New Roman"/>
          <w:bCs/>
          <w:kern w:val="32"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sz w:val="28"/>
          <w:szCs w:val="28"/>
          <w:lang w:eastAsia="ru-RU"/>
        </w:rPr>
        <w:t xml:space="preserve"> сельсовет и на официальном сайте администрации сельского поселения.</w:t>
      </w:r>
    </w:p>
    <w:p w:rsidR="004D34B6" w:rsidRPr="00AE1953" w:rsidRDefault="004D34B6" w:rsidP="004D34B6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953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AE195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1953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D34B6" w:rsidRPr="00AE1953" w:rsidRDefault="004D34B6" w:rsidP="004D34B6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4B6" w:rsidRPr="00AE1953" w:rsidRDefault="004D34B6" w:rsidP="004D34B6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DD40BE" w:rsidRPr="00D84B17" w:rsidRDefault="004D34B6" w:rsidP="00DD40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953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Pr="00AE1953">
        <w:rPr>
          <w:rFonts w:ascii="Times New Roman" w:hAnsi="Times New Roman"/>
          <w:sz w:val="28"/>
          <w:szCs w:val="28"/>
          <w:lang w:eastAsia="ru-RU"/>
        </w:rPr>
        <w:t>  </w:t>
      </w:r>
      <w:r w:rsidR="00DD4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DD40BE" w:rsidRPr="00D84B17" w:rsidRDefault="00DD40BE" w:rsidP="00DD40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D40BE" w:rsidRPr="00D84B17" w:rsidRDefault="00DD40BE" w:rsidP="00DD40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D40BE" w:rsidRPr="00D84B17" w:rsidRDefault="00DD40BE" w:rsidP="00DD40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DD40BE" w:rsidRDefault="00DD40BE" w:rsidP="00DD40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4D34B6" w:rsidRPr="00AE1953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4D34B6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2D5F23">
        <w:rPr>
          <w:rFonts w:ascii="Times New Roman" w:hAnsi="Times New Roman"/>
          <w:color w:val="61616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4D34B6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DD40BE" w:rsidRDefault="00DD40BE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DD40BE" w:rsidRDefault="00DD40BE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Pr="00296F19" w:rsidRDefault="004D34B6" w:rsidP="004D34B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6F19">
        <w:rPr>
          <w:rFonts w:ascii="Times New Roman" w:hAnsi="Times New Roman"/>
          <w:lang w:eastAsia="ru-RU"/>
        </w:rPr>
        <w:lastRenderedPageBreak/>
        <w:t>Утверждено</w:t>
      </w:r>
    </w:p>
    <w:p w:rsidR="004D34B6" w:rsidRPr="00296F19" w:rsidRDefault="004D34B6" w:rsidP="004D34B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6F19">
        <w:rPr>
          <w:rFonts w:ascii="Times New Roman" w:hAnsi="Times New Roman"/>
          <w:lang w:eastAsia="ru-RU"/>
        </w:rPr>
        <w:t xml:space="preserve">постановлением </w:t>
      </w:r>
      <w:r>
        <w:rPr>
          <w:rFonts w:ascii="Times New Roman" w:hAnsi="Times New Roman"/>
          <w:lang w:eastAsia="ru-RU"/>
        </w:rPr>
        <w:t>главы</w:t>
      </w:r>
    </w:p>
    <w:p w:rsidR="004D34B6" w:rsidRPr="00296F19" w:rsidRDefault="004D34B6" w:rsidP="004D34B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6F19">
        <w:rPr>
          <w:rFonts w:ascii="Times New Roman" w:hAnsi="Times New Roman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lang w:eastAsia="ru-RU"/>
        </w:rPr>
        <w:t>Чишминский</w:t>
      </w:r>
      <w:proofErr w:type="spellEnd"/>
      <w:r w:rsidRPr="00296F19">
        <w:rPr>
          <w:rFonts w:ascii="Times New Roman" w:hAnsi="Times New Roman"/>
          <w:lang w:eastAsia="ru-RU"/>
        </w:rPr>
        <w:t xml:space="preserve"> сельсовет</w:t>
      </w:r>
    </w:p>
    <w:p w:rsidR="004D34B6" w:rsidRPr="00296F19" w:rsidRDefault="004D34B6" w:rsidP="004D34B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6F19">
        <w:rPr>
          <w:rFonts w:ascii="Times New Roman" w:hAnsi="Times New Roman"/>
          <w:lang w:eastAsia="ru-RU"/>
        </w:rPr>
        <w:t xml:space="preserve"> муниципального района </w:t>
      </w:r>
      <w:proofErr w:type="spellStart"/>
      <w:r w:rsidRPr="00296F19">
        <w:rPr>
          <w:rFonts w:ascii="Times New Roman" w:hAnsi="Times New Roman"/>
          <w:lang w:eastAsia="ru-RU"/>
        </w:rPr>
        <w:t>Чишминский</w:t>
      </w:r>
      <w:proofErr w:type="spellEnd"/>
      <w:r w:rsidRPr="00296F19">
        <w:rPr>
          <w:rFonts w:ascii="Times New Roman" w:hAnsi="Times New Roman"/>
          <w:lang w:eastAsia="ru-RU"/>
        </w:rPr>
        <w:t xml:space="preserve"> район</w:t>
      </w:r>
    </w:p>
    <w:p w:rsidR="004D34B6" w:rsidRPr="00296F19" w:rsidRDefault="004D34B6" w:rsidP="004D34B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6F19">
        <w:rPr>
          <w:rFonts w:ascii="Times New Roman" w:hAnsi="Times New Roman"/>
          <w:lang w:eastAsia="ru-RU"/>
        </w:rPr>
        <w:t xml:space="preserve"> Республики Башкортостан</w:t>
      </w:r>
    </w:p>
    <w:p w:rsidR="004D34B6" w:rsidRPr="00296F19" w:rsidRDefault="004D34B6" w:rsidP="004D34B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Pr="00296F19"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 xml:space="preserve"> 27 июня  </w:t>
      </w:r>
      <w:smartTag w:uri="urn:schemas-microsoft-com:office:smarttags" w:element="metricconverter">
        <w:smartTagPr>
          <w:attr w:name="ProductID" w:val="2017 г"/>
        </w:smartTagPr>
        <w:r w:rsidRPr="00296F19">
          <w:rPr>
            <w:rFonts w:ascii="Times New Roman" w:hAnsi="Times New Roman"/>
            <w:lang w:eastAsia="ru-RU"/>
          </w:rPr>
          <w:t>2017 г</w:t>
        </w:r>
      </w:smartTag>
      <w:r w:rsidRPr="00296F19">
        <w:rPr>
          <w:rFonts w:ascii="Times New Roman" w:hAnsi="Times New Roman"/>
          <w:lang w:eastAsia="ru-RU"/>
        </w:rPr>
        <w:t>. №</w:t>
      </w:r>
      <w:r>
        <w:rPr>
          <w:rFonts w:ascii="Times New Roman" w:hAnsi="Times New Roman"/>
          <w:lang w:eastAsia="ru-RU"/>
        </w:rPr>
        <w:t xml:space="preserve">  43</w:t>
      </w:r>
    </w:p>
    <w:p w:rsidR="004D34B6" w:rsidRPr="002D5F23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1"/>
          <w:szCs w:val="21"/>
          <w:lang w:eastAsia="ru-RU"/>
        </w:rPr>
      </w:pPr>
    </w:p>
    <w:p w:rsidR="004D34B6" w:rsidRPr="002D5F23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616161"/>
          <w:sz w:val="21"/>
          <w:szCs w:val="21"/>
          <w:lang w:eastAsia="ru-RU"/>
        </w:rPr>
      </w:pPr>
      <w:r w:rsidRPr="002D5F23">
        <w:rPr>
          <w:rFonts w:ascii="Times New Roman" w:hAnsi="Times New Roman"/>
          <w:color w:val="61616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4D34B6" w:rsidRPr="00AE1953" w:rsidRDefault="004D34B6" w:rsidP="004D34B6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AE1953">
        <w:rPr>
          <w:rFonts w:ascii="Times New Roman" w:hAnsi="Times New Roman"/>
          <w:b/>
          <w:sz w:val="28"/>
          <w:szCs w:val="28"/>
          <w:lang w:eastAsia="ru-RU"/>
        </w:rPr>
        <w:t>Комплексная муниципальная программа</w:t>
      </w:r>
      <w:r w:rsidRPr="00AE1953">
        <w:rPr>
          <w:rFonts w:ascii="Times New Roman" w:hAnsi="Times New Roman"/>
          <w:b/>
          <w:sz w:val="28"/>
          <w:szCs w:val="28"/>
          <w:lang w:eastAsia="ru-RU"/>
        </w:rPr>
        <w:br/>
        <w:t xml:space="preserve">Противодействие экстремизму и  профилактика терроризма на территории  сельского  поселения  </w:t>
      </w:r>
      <w:proofErr w:type="spellStart"/>
      <w:r w:rsidRPr="00AE1953">
        <w:rPr>
          <w:rFonts w:ascii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b/>
          <w:sz w:val="28"/>
          <w:szCs w:val="28"/>
          <w:lang w:eastAsia="ru-RU"/>
        </w:rPr>
        <w:t xml:space="preserve">  сельсовет  муниципального  района  </w:t>
      </w:r>
      <w:proofErr w:type="spellStart"/>
      <w:r w:rsidRPr="00AE1953">
        <w:rPr>
          <w:rFonts w:ascii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b/>
          <w:sz w:val="28"/>
          <w:szCs w:val="28"/>
          <w:lang w:eastAsia="ru-RU"/>
        </w:rPr>
        <w:t>  район  Республики  Башкортостан                         на 2017-2019 годы</w:t>
      </w:r>
      <w:r w:rsidRPr="00AE1953">
        <w:rPr>
          <w:rFonts w:ascii="Times New Roman" w:hAnsi="Times New Roman"/>
          <w:sz w:val="28"/>
          <w:szCs w:val="28"/>
          <w:lang w:eastAsia="ru-RU"/>
        </w:rPr>
        <w:br/>
      </w:r>
      <w:r w:rsidRPr="00AE1953">
        <w:rPr>
          <w:rFonts w:ascii="Times New Roman" w:hAnsi="Times New Roman"/>
          <w:sz w:val="28"/>
          <w:szCs w:val="28"/>
          <w:lang w:eastAsia="ru-RU"/>
        </w:rPr>
        <w:br/>
        <w:t xml:space="preserve">Паспорт комплексной муниципальной программы " Противодействие экстремизму и  профилактика терроризма на территории  сельского  поселения  </w:t>
      </w:r>
      <w:proofErr w:type="spellStart"/>
      <w:r w:rsidRPr="00AE1953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</w:t>
      </w:r>
      <w:proofErr w:type="spellStart"/>
      <w:r w:rsidRPr="00AE1953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AE1953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 на 2017-2019 годы "</w:t>
      </w:r>
    </w:p>
    <w:tbl>
      <w:tblPr>
        <w:tblW w:w="0" w:type="auto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3"/>
        <w:gridCol w:w="7900"/>
      </w:tblGrid>
      <w:tr w:rsidR="004D34B6" w:rsidRPr="00096E82" w:rsidTr="00F46E5E">
        <w:trPr>
          <w:trHeight w:val="1951"/>
        </w:trPr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муниципальная программа:                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"Противодействие экстремизму и  профилактика терроризма на территории 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</w:t>
            </w:r>
            <w:proofErr w:type="spellStart"/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района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  на 2017-2019 годы".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</w:t>
            </w:r>
            <w:proofErr w:type="spellStart"/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района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Башкортостан.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</w:t>
            </w:r>
            <w:proofErr w:type="spellStart"/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района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 учреждения и организации различных форм собственности; общественные организации и объединения. 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</w:t>
            </w:r>
            <w:proofErr w:type="spellStart"/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района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  Республики  Башкортостан.</w:t>
            </w:r>
          </w:p>
          <w:p w:rsidR="004D34B6" w:rsidRPr="002D5F23" w:rsidRDefault="004D34B6" w:rsidP="00F46E5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Достижение необходимого уровня правовой культуры граждан как основы толерантного сознания и 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поведения.                                   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2017-2019 годы в один этап.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Всего по Программе: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 тыс. руб.,           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2017 -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                              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2018 -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 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.       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района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  Республики  Башкортостан.</w:t>
            </w:r>
          </w:p>
          <w:p w:rsidR="004D34B6" w:rsidRPr="002D5F23" w:rsidRDefault="004D34B6" w:rsidP="00F46E5E">
            <w:pPr>
              <w:spacing w:after="27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 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 настоящей Программы  осуществляет администрация   и Совет  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муниципального  района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  район  Республики  Башкортостан  в соответствии с полномочиями, установленными действующим законодательством</w:t>
            </w:r>
          </w:p>
        </w:tc>
      </w:tr>
      <w:tr w:rsidR="004D34B6" w:rsidRPr="00096E82" w:rsidTr="00F46E5E"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4B6" w:rsidRPr="002D5F23" w:rsidRDefault="004D34B6" w:rsidP="00F4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  поселения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сельсовет  </w:t>
            </w:r>
            <w:proofErr w:type="spellStart"/>
            <w:proofErr w:type="gram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района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2D5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  Республики  Башкортостан.</w:t>
            </w:r>
          </w:p>
        </w:tc>
      </w:tr>
    </w:tbl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Pr="00D578DE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Программа «Противодействие экстремизму и  профилактика терроризма на территории муниципального образования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сельсовет  муниципального  района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>  район  Республики             Башкортостан  на 2017-2019 годы "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I. Оценка исходной ситуации</w:t>
      </w:r>
    </w:p>
    <w:p w:rsidR="004D34B6" w:rsidRPr="00D578DE" w:rsidRDefault="004D34B6" w:rsidP="004D34B6">
      <w:pPr>
        <w:shd w:val="clear" w:color="auto" w:fill="FFFFFF"/>
        <w:spacing w:after="27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         Резкая активизация деятельности молодежных объединений экстремистской направленности ("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Скинхэды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  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     Сегодняшняя борьба с экстремизмом затрагивает также сферы, которые трактуются как: - подрыв безопасности Российской Федерации; возбуждение</w:t>
      </w:r>
      <w:r w:rsidRPr="00D578DE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D578DE">
        <w:rPr>
          <w:rFonts w:ascii="Times New Roman" w:hAnsi="Times New Roman"/>
          <w:sz w:val="28"/>
          <w:szCs w:val="28"/>
          <w:lang w:eastAsia="ru-RU"/>
        </w:rPr>
        <w:t>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</w:t>
      </w:r>
      <w:r w:rsidRPr="00D578DE">
        <w:rPr>
          <w:rFonts w:ascii="Times New Roman" w:hAnsi="Times New Roman"/>
          <w:sz w:val="28"/>
          <w:szCs w:val="28"/>
          <w:lang w:eastAsia="ru-RU"/>
        </w:rPr>
        <w:lastRenderedPageBreak/>
        <w:t>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br/>
        <w:t>2. Цель и задачи Программы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 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 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br/>
        <w:t>Основными задачами реализации Программы являются:</w:t>
      </w:r>
    </w:p>
    <w:p w:rsidR="004D34B6" w:rsidRPr="00D578DE" w:rsidRDefault="004D34B6" w:rsidP="004D34B6">
      <w:pPr>
        <w:shd w:val="clear" w:color="auto" w:fill="FFFFFF"/>
        <w:spacing w:after="24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муниципального образования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Чишминскийсельсовет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муниципального  района          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Башкортостан;</w:t>
      </w:r>
    </w:p>
    <w:p w:rsidR="004D34B6" w:rsidRPr="00D578DE" w:rsidRDefault="004D34B6" w:rsidP="004D34B6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br/>
        <w:t>• общественное осуждение и пресечение на основе действующего</w:t>
      </w:r>
      <w:r w:rsidRPr="00D578DE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D578DE">
        <w:rPr>
          <w:rFonts w:ascii="Times New Roman" w:hAnsi="Times New Roman"/>
          <w:sz w:val="28"/>
          <w:szCs w:val="28"/>
          <w:lang w:eastAsia="ru-RU"/>
        </w:rPr>
        <w:t>законодательства любых проявлений дискриминации, насилия, расизма и экстремизма на национальной и конфессиональной почве.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lastRenderedPageBreak/>
        <w:t>3. Основные мероприятия Программы</w:t>
      </w:r>
    </w:p>
    <w:p w:rsidR="004D34B6" w:rsidRDefault="004D34B6" w:rsidP="004D34B6">
      <w:pPr>
        <w:shd w:val="clear" w:color="auto" w:fill="FFFFFF"/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В сфере культуры и воспитании молодежи: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утверждение концепции много культурности и многоукладности российской жизни;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В сфере организации работы «библиотечной системы»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сельсовет  муниципального  района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>  район  Республики              Башкортостан: 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- осуществление регулярного мониторинга печатных и электронных СМИ            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>средства  массовой 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</w:t>
      </w:r>
      <w:r w:rsidRPr="00D578DE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D578DE">
        <w:rPr>
          <w:rFonts w:ascii="Times New Roman" w:hAnsi="Times New Roman"/>
          <w:sz w:val="28"/>
          <w:szCs w:val="28"/>
          <w:lang w:eastAsia="ru-RU"/>
        </w:rPr>
        <w:t>насилию;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D34B6" w:rsidRDefault="004D34B6" w:rsidP="004D34B6">
      <w:pPr>
        <w:shd w:val="clear" w:color="auto" w:fill="FFFFFF"/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4B6" w:rsidRPr="00D578DE" w:rsidRDefault="004D34B6" w:rsidP="004D34B6">
      <w:pPr>
        <w:shd w:val="clear" w:color="auto" w:fill="FFFFFF"/>
        <w:spacing w:after="24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4D34B6" w:rsidRPr="00D578DE" w:rsidRDefault="004D34B6" w:rsidP="004D34B6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D578DE">
        <w:rPr>
          <w:rFonts w:ascii="Times New Roman" w:hAnsi="Times New Roman"/>
          <w:sz w:val="28"/>
          <w:szCs w:val="28"/>
          <w:lang w:eastAsia="ru-RU"/>
        </w:rPr>
        <w:t>. Управление Программой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 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район  Республики  Башкортостан. Координацию деятельности исполнителей осуществляет Администрация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 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район  Республики  Башкортостан, школа, сельские  клубы. Анализ и оценку эффективности исполнения программы, подготовку материалов для рассмотрения 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совещаний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при  главе и Совете депутатов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Башкортостан, производит специалист администрации, совместно с сотрудниками правоохранительных органов, работающих на территории поселения.</w:t>
      </w:r>
    </w:p>
    <w:p w:rsidR="004D34B6" w:rsidRPr="00D578DE" w:rsidRDefault="004D34B6" w:rsidP="004D34B6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исполнением Программы  осуществляют администрация   и  Совет 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сельсовет       муниципального  района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>  район  Республики  Башкортостан,   в соответствии с полномочиями, установленными законодательством.</w:t>
      </w:r>
    </w:p>
    <w:p w:rsidR="004D34B6" w:rsidRPr="00D578DE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4B6" w:rsidRPr="00D578DE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616161"/>
          <w:sz w:val="28"/>
          <w:szCs w:val="28"/>
          <w:lang w:eastAsia="ru-RU"/>
        </w:rPr>
        <w:sectPr w:rsidR="004D34B6" w:rsidSect="003F48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34B6" w:rsidRPr="00D578DE" w:rsidRDefault="004D34B6" w:rsidP="004D34B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Перечень мероприятий по реализации комплексной муниципальной </w:t>
      </w:r>
      <w:r w:rsidRPr="00D578DE">
        <w:rPr>
          <w:rFonts w:ascii="Times New Roman" w:hAnsi="Times New Roman"/>
          <w:b/>
          <w:bCs/>
          <w:sz w:val="28"/>
          <w:szCs w:val="28"/>
          <w:lang w:eastAsia="ru-RU"/>
        </w:rPr>
        <w:br/>
        <w:t>программы "Противодействие экстремизму и профилактика терроризма</w:t>
      </w:r>
      <w:r w:rsidRPr="00D578DE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на территории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сельсовет  муниципального  района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  Республики  Башкортостан на 2017-2019 годы"</w:t>
      </w:r>
    </w:p>
    <w:tbl>
      <w:tblPr>
        <w:tblW w:w="15075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"/>
        <w:gridCol w:w="64"/>
        <w:gridCol w:w="4254"/>
        <w:gridCol w:w="851"/>
        <w:gridCol w:w="758"/>
        <w:gridCol w:w="234"/>
        <w:gridCol w:w="701"/>
        <w:gridCol w:w="50"/>
        <w:gridCol w:w="1505"/>
        <w:gridCol w:w="61"/>
        <w:gridCol w:w="669"/>
        <w:gridCol w:w="1068"/>
        <w:gridCol w:w="542"/>
        <w:gridCol w:w="763"/>
        <w:gridCol w:w="90"/>
        <w:gridCol w:w="526"/>
        <w:gridCol w:w="2759"/>
      </w:tblGrid>
      <w:tr w:rsidR="004D34B6" w:rsidRPr="00D578DE" w:rsidTr="00F46E5E">
        <w:tc>
          <w:tcPr>
            <w:tcW w:w="1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5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D34B6" w:rsidRPr="00D578DE" w:rsidTr="00F46E5E">
        <w:tc>
          <w:tcPr>
            <w:tcW w:w="18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Прочие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41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D34B6" w:rsidRPr="00D578DE" w:rsidTr="00F46E5E">
        <w:tc>
          <w:tcPr>
            <w:tcW w:w="15075" w:type="dxa"/>
            <w:gridSpan w:val="1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1. Организационные и пропагандистские мероприятия                  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сельского  поселения 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сельсовет  муниципального              района 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  район  Республики  Башкортостан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  поселения 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сельского  поселения 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сельсовет  муниципального            района 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  район  Республики  Башкортостан   по формированию толерантности и преодолению ксенофобии.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Школа,  учреждения культуры специалист по работе с молодёжью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молодёжи с использованием видеоматериалов «Обыкновенный фашизм»,  и т.д.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Школа,  учреждения культуры специалист по работе с молодёжью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 Библиотека       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 Учреждения культуры, библиотека, школа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 Участковый инспектор (по согласованию)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2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  поселения 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сходов  граждан по профилактике терроризма  на территории сельского  поселения 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  муниципального  района 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  район  Республики Башкортостан     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3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старосты  населенных  пунктов</w:t>
            </w:r>
          </w:p>
        </w:tc>
      </w:tr>
      <w:tr w:rsidR="004D34B6" w:rsidRPr="00D578DE" w:rsidTr="00F46E5E">
        <w:tc>
          <w:tcPr>
            <w:tcW w:w="15075" w:type="dxa"/>
            <w:gridSpan w:val="1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40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27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 Администрация,</w:t>
            </w:r>
          </w:p>
          <w:p w:rsidR="004D34B6" w:rsidRPr="00D578DE" w:rsidRDefault="004D34B6" w:rsidP="00F46E5E">
            <w:pPr>
              <w:spacing w:after="27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культуры,  школы,</w:t>
            </w:r>
          </w:p>
          <w:p w:rsidR="004D34B6" w:rsidRPr="00D578DE" w:rsidRDefault="004D34B6" w:rsidP="00F46E5E">
            <w:pPr>
              <w:spacing w:after="27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детского  сада</w:t>
            </w:r>
          </w:p>
        </w:tc>
      </w:tr>
      <w:tr w:rsidR="004D34B6" w:rsidRPr="00D578DE" w:rsidTr="00F46E5E">
        <w:tc>
          <w:tcPr>
            <w:tcW w:w="15075" w:type="dxa"/>
            <w:gridSpan w:val="1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  по вопросам профилактики экстремизма и предупреждения террористических актов    </w:t>
            </w:r>
          </w:p>
        </w:tc>
      </w:tr>
      <w:tr w:rsidR="004D34B6" w:rsidRPr="00D578DE" w:rsidTr="00F46E5E">
        <w:tc>
          <w:tcPr>
            <w:tcW w:w="15075" w:type="dxa"/>
            <w:gridSpan w:val="1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Изготовить  печатных памяток по тематике противодействия  экстремизму и терроризму  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27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4D34B6" w:rsidRPr="00D578DE" w:rsidRDefault="004D34B6" w:rsidP="00F46E5E">
            <w:pPr>
              <w:spacing w:after="27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1,2</w:t>
            </w:r>
          </w:p>
        </w:tc>
        <w:tc>
          <w:tcPr>
            <w:tcW w:w="40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  сельского  поселения 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Приобрести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8DE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  поселения </w:t>
            </w:r>
          </w:p>
        </w:tc>
      </w:tr>
      <w:tr w:rsidR="004D34B6" w:rsidRPr="00D578DE" w:rsidTr="00F46E5E"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4B6" w:rsidRPr="00D578DE" w:rsidRDefault="004D34B6" w:rsidP="00F46E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578DE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Примечание: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1. Комплексная муниципальная программа: "Противодействие экстремизму и профилактика терроризма на территории сельского  поселения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сельсовет  муниципального  района        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  район  Республики  Башкортостан   на 2017-2019 годы подлежит корректировке и внесению дополнений  при 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определениии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порядка и источников финансирования практических мероприятий по противодействию экстремизму и терроризму.</w:t>
      </w:r>
    </w:p>
    <w:p w:rsidR="004D34B6" w:rsidRPr="00D578DE" w:rsidRDefault="004D34B6" w:rsidP="004D34B6">
      <w:pPr>
        <w:shd w:val="clear" w:color="auto" w:fill="FFFFFF"/>
        <w:spacing w:after="27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4B6" w:rsidRDefault="004D34B6" w:rsidP="004D34B6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  <w:sectPr w:rsidR="004D34B6" w:rsidSect="003F48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34B6" w:rsidRDefault="004D34B6" w:rsidP="004D34B6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  <w:sectPr w:rsidR="004D34B6" w:rsidSect="003F48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D34B6" w:rsidRDefault="004D34B6" w:rsidP="004D34B6">
      <w:pPr>
        <w:shd w:val="clear" w:color="auto" w:fill="FFFFFF"/>
        <w:spacing w:after="27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4D34B6" w:rsidRPr="00D578DE" w:rsidRDefault="004D34B6" w:rsidP="004D34B6">
      <w:pPr>
        <w:shd w:val="clear" w:color="auto" w:fill="FFFFFF"/>
        <w:spacing w:after="27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78D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D578DE">
        <w:rPr>
          <w:rFonts w:ascii="Times New Roman" w:hAnsi="Times New Roman"/>
          <w:sz w:val="24"/>
          <w:szCs w:val="24"/>
          <w:lang w:eastAsia="ru-RU"/>
        </w:rPr>
        <w:br/>
        <w:t>к  комплексной муниципальной программе </w:t>
      </w:r>
      <w:r w:rsidRPr="00D578DE">
        <w:rPr>
          <w:rFonts w:ascii="Times New Roman" w:hAnsi="Times New Roman"/>
          <w:sz w:val="24"/>
          <w:szCs w:val="24"/>
          <w:lang w:eastAsia="ru-RU"/>
        </w:rPr>
        <w:br/>
        <w:t>"Противодействие экстремизму </w:t>
      </w:r>
      <w:r w:rsidRPr="00D578DE">
        <w:rPr>
          <w:rFonts w:ascii="Times New Roman" w:hAnsi="Times New Roman"/>
          <w:sz w:val="24"/>
          <w:szCs w:val="24"/>
          <w:lang w:eastAsia="ru-RU"/>
        </w:rPr>
        <w:br/>
        <w:t>и профилактика терроризма на территории </w:t>
      </w:r>
      <w:r w:rsidRPr="00D578DE">
        <w:rPr>
          <w:rFonts w:ascii="Times New Roman" w:hAnsi="Times New Roman"/>
          <w:sz w:val="24"/>
          <w:szCs w:val="24"/>
          <w:lang w:eastAsia="ru-RU"/>
        </w:rPr>
        <w:br/>
        <w:t xml:space="preserve">сельского  поселения  </w:t>
      </w:r>
      <w:proofErr w:type="spellStart"/>
      <w:r w:rsidRPr="00D578DE">
        <w:rPr>
          <w:rFonts w:ascii="Times New Roman" w:hAnsi="Times New Roman"/>
          <w:sz w:val="24"/>
          <w:szCs w:val="24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4"/>
          <w:szCs w:val="24"/>
          <w:lang w:eastAsia="ru-RU"/>
        </w:rPr>
        <w:t xml:space="preserve">  сельсовет  муниципального  район </w:t>
      </w:r>
      <w:proofErr w:type="spellStart"/>
      <w:r w:rsidRPr="00D578DE">
        <w:rPr>
          <w:rFonts w:ascii="Times New Roman" w:hAnsi="Times New Roman"/>
          <w:sz w:val="24"/>
          <w:szCs w:val="24"/>
          <w:lang w:eastAsia="ru-RU"/>
        </w:rPr>
        <w:t>Чишминский</w:t>
      </w:r>
      <w:proofErr w:type="spellEnd"/>
      <w:r w:rsidRPr="00D578DE">
        <w:rPr>
          <w:rFonts w:ascii="Times New Roman" w:hAnsi="Times New Roman"/>
          <w:sz w:val="24"/>
          <w:szCs w:val="24"/>
          <w:lang w:eastAsia="ru-RU"/>
        </w:rPr>
        <w:t>  район  Республики  Башкортостан  на 2017-2019 г»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</w:r>
      <w:r w:rsidRPr="00D578DE">
        <w:rPr>
          <w:rFonts w:ascii="Times New Roman" w:hAnsi="Times New Roman"/>
          <w:sz w:val="28"/>
          <w:szCs w:val="28"/>
          <w:lang w:eastAsia="ru-RU"/>
        </w:rPr>
        <w:br/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Основные понятия: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1) экстремистская деятельность (экстремизм):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сходных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34B6" w:rsidRPr="00D578DE" w:rsidRDefault="004D34B6" w:rsidP="004D34B6">
      <w:pPr>
        <w:shd w:val="clear" w:color="auto" w:fill="FFFFFF"/>
        <w:spacing w:after="27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578DE">
        <w:rPr>
          <w:rFonts w:ascii="Times New Roman" w:hAnsi="Times New Roman"/>
          <w:sz w:val="28"/>
          <w:szCs w:val="28"/>
          <w:lang w:eastAsia="ru-RU"/>
        </w:rPr>
        <w:t>2) экстремистская организация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от 25 июля 2002 года №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3) экстремистские материалы 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4) Основные направления противодействия экстремистской деятельности.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следующим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основным направлениям: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- выявление, предупреждение и пресечение экстремистской деятельности </w:t>
      </w:r>
      <w:r w:rsidRPr="00D578DE">
        <w:rPr>
          <w:rFonts w:ascii="Times New Roman" w:hAnsi="Times New Roman"/>
          <w:sz w:val="28"/>
          <w:szCs w:val="28"/>
          <w:lang w:eastAsia="ru-RU"/>
        </w:rPr>
        <w:lastRenderedPageBreak/>
        <w:t>общественных и религиозных объединений, иных организаций, физических лиц.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5) Субъекты противодействия экстремистской деятельности.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6) Профилактика экстремистской деятельности.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7) Толерантность</w:t>
      </w:r>
      <w:proofErr w:type="gramStart"/>
      <w:r w:rsidRPr="00D578DE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лат.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tolerantia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- терпение)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 xml:space="preserve">8) Ксенофобия [греч.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xenos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- чужой + </w:t>
      </w:r>
      <w:proofErr w:type="spellStart"/>
      <w:r w:rsidRPr="00D578DE">
        <w:rPr>
          <w:rFonts w:ascii="Times New Roman" w:hAnsi="Times New Roman"/>
          <w:sz w:val="28"/>
          <w:szCs w:val="28"/>
          <w:lang w:eastAsia="ru-RU"/>
        </w:rPr>
        <w:t>phobos</w:t>
      </w:r>
      <w:proofErr w:type="spellEnd"/>
      <w:r w:rsidRPr="00D578DE">
        <w:rPr>
          <w:rFonts w:ascii="Times New Roman" w:hAnsi="Times New Roman"/>
          <w:sz w:val="28"/>
          <w:szCs w:val="28"/>
          <w:lang w:eastAsia="ru-RU"/>
        </w:rPr>
        <w:t xml:space="preserve"> - страх]</w:t>
      </w:r>
      <w:r w:rsidRPr="00D578DE">
        <w:rPr>
          <w:rFonts w:ascii="Times New Roman" w:hAnsi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D34B6" w:rsidRPr="00D578DE" w:rsidRDefault="004D34B6" w:rsidP="004D34B6"/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A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952F4"/>
    <w:rsid w:val="000A648C"/>
    <w:rsid w:val="000B0944"/>
    <w:rsid w:val="000B0CB0"/>
    <w:rsid w:val="000B6764"/>
    <w:rsid w:val="000B6DA5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2C18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691C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06C2"/>
    <w:rsid w:val="00242229"/>
    <w:rsid w:val="0024749E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61431"/>
    <w:rsid w:val="00374797"/>
    <w:rsid w:val="00375C1B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59AF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34B6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24F8E"/>
    <w:rsid w:val="00631D73"/>
    <w:rsid w:val="00642130"/>
    <w:rsid w:val="006422D9"/>
    <w:rsid w:val="006434DA"/>
    <w:rsid w:val="006513D7"/>
    <w:rsid w:val="00652AD3"/>
    <w:rsid w:val="0065496C"/>
    <w:rsid w:val="006553F3"/>
    <w:rsid w:val="006575E9"/>
    <w:rsid w:val="00662B2D"/>
    <w:rsid w:val="00663BFB"/>
    <w:rsid w:val="00670924"/>
    <w:rsid w:val="00672767"/>
    <w:rsid w:val="00673F81"/>
    <w:rsid w:val="006740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36CB6"/>
    <w:rsid w:val="0074066C"/>
    <w:rsid w:val="007407D9"/>
    <w:rsid w:val="00744EDA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18"/>
    <w:rsid w:val="007D33FE"/>
    <w:rsid w:val="007D5625"/>
    <w:rsid w:val="007E10EC"/>
    <w:rsid w:val="007E1E3A"/>
    <w:rsid w:val="007E3CA1"/>
    <w:rsid w:val="007F0F47"/>
    <w:rsid w:val="007F11F9"/>
    <w:rsid w:val="007F16FA"/>
    <w:rsid w:val="007F24EA"/>
    <w:rsid w:val="00805933"/>
    <w:rsid w:val="00810421"/>
    <w:rsid w:val="00814C49"/>
    <w:rsid w:val="008216F6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10A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585E"/>
    <w:rsid w:val="0098671F"/>
    <w:rsid w:val="0099113F"/>
    <w:rsid w:val="00993F35"/>
    <w:rsid w:val="009958BF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517F"/>
    <w:rsid w:val="00B16B3A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1EB5"/>
    <w:rsid w:val="00C536B0"/>
    <w:rsid w:val="00C54A97"/>
    <w:rsid w:val="00C56BBB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CF5BA7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4445F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0BE"/>
    <w:rsid w:val="00DD468B"/>
    <w:rsid w:val="00DE5B20"/>
    <w:rsid w:val="00DF095F"/>
    <w:rsid w:val="00DF3DF5"/>
    <w:rsid w:val="00DF4991"/>
    <w:rsid w:val="00DF7483"/>
    <w:rsid w:val="00DF75B7"/>
    <w:rsid w:val="00E00EE1"/>
    <w:rsid w:val="00E1379B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101F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93EFA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3632</Words>
  <Characters>20703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2017-06-28T10:30:00Z</dcterms:created>
  <dcterms:modified xsi:type="dcterms:W3CDTF">2017-06-28T10:33:00Z</dcterms:modified>
</cp:coreProperties>
</file>